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30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"/>
        <w:gridCol w:w="6249"/>
        <w:gridCol w:w="3222"/>
      </w:tblGrid>
      <w:tr w:rsidR="00E86545" w14:paraId="448AEEAE" w14:textId="77777777" w:rsidTr="000B1887">
        <w:trPr>
          <w:trHeight w:val="1182"/>
        </w:trPr>
        <w:tc>
          <w:tcPr>
            <w:tcW w:w="1459" w:type="dxa"/>
            <w:vAlign w:val="center"/>
          </w:tcPr>
          <w:p w14:paraId="02375898" w14:textId="77777777" w:rsidR="00E86545" w:rsidRDefault="00E86545" w:rsidP="002675A8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30678E50" wp14:editId="0FCB68A2">
                  <wp:extent cx="704850" cy="704850"/>
                  <wp:effectExtent l="0" t="0" r="0" b="0"/>
                  <wp:docPr id="1" name="Picture 1" descr="SCWHCA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WHCA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9" w:type="dxa"/>
            <w:vAlign w:val="center"/>
          </w:tcPr>
          <w:p w14:paraId="204E83A1" w14:textId="77777777" w:rsidR="00E86545" w:rsidRPr="00FD1E78" w:rsidRDefault="00E86545" w:rsidP="002675A8">
            <w:pPr>
              <w:pStyle w:val="Header"/>
              <w:jc w:val="center"/>
              <w:rPr>
                <w:rFonts w:ascii="Calibri" w:hAnsi="Calibri"/>
                <w:b/>
              </w:rPr>
            </w:pPr>
            <w:r w:rsidRPr="00FD1E78">
              <w:rPr>
                <w:rFonts w:ascii="Calibri" w:hAnsi="Calibri"/>
                <w:b/>
              </w:rPr>
              <w:t>Southern Connecticut Women’s Health Care Associates</w:t>
            </w:r>
          </w:p>
          <w:p w14:paraId="7F1C8B1B" w14:textId="77777777" w:rsidR="00E86545" w:rsidRPr="00FD1E78" w:rsidRDefault="00E86545" w:rsidP="002675A8">
            <w:pPr>
              <w:pStyle w:val="Header"/>
              <w:jc w:val="center"/>
              <w:rPr>
                <w:rFonts w:ascii="Calibri" w:hAnsi="Calibri"/>
                <w:b/>
              </w:rPr>
            </w:pPr>
            <w:r w:rsidRPr="00FD1E78">
              <w:rPr>
                <w:rFonts w:ascii="Calibri" w:hAnsi="Calibri"/>
                <w:b/>
              </w:rPr>
              <w:t>247 Broad Street, Milford CT 06460</w:t>
            </w:r>
          </w:p>
          <w:p w14:paraId="051196EE" w14:textId="77777777" w:rsidR="00E86545" w:rsidRDefault="00E86545" w:rsidP="002675A8">
            <w:pPr>
              <w:pStyle w:val="Header"/>
              <w:jc w:val="center"/>
            </w:pPr>
            <w:r w:rsidRPr="00FD1E78">
              <w:rPr>
                <w:rFonts w:ascii="Calibri" w:hAnsi="Calibri"/>
                <w:b/>
              </w:rPr>
              <w:t>P. (203) 783-0543 – F. (203) 874-5728</w:t>
            </w:r>
          </w:p>
        </w:tc>
        <w:tc>
          <w:tcPr>
            <w:tcW w:w="3222" w:type="dxa"/>
            <w:vAlign w:val="center"/>
          </w:tcPr>
          <w:p w14:paraId="0ED7CF5A" w14:textId="77777777" w:rsidR="00E86545" w:rsidRPr="00482FB4" w:rsidRDefault="00E86545" w:rsidP="002675A8">
            <w:pPr>
              <w:pStyle w:val="Header"/>
              <w:jc w:val="center"/>
              <w:rPr>
                <w:sz w:val="18"/>
                <w:szCs w:val="18"/>
              </w:rPr>
            </w:pPr>
            <w:r w:rsidRPr="00482FB4">
              <w:rPr>
                <w:sz w:val="18"/>
                <w:szCs w:val="18"/>
              </w:rPr>
              <w:t>Miriam Sivkin, M.D. FACOG</w:t>
            </w:r>
          </w:p>
          <w:p w14:paraId="257D21E2" w14:textId="77777777" w:rsidR="00E86545" w:rsidRDefault="00E86545" w:rsidP="002675A8">
            <w:pPr>
              <w:pStyle w:val="Header"/>
              <w:jc w:val="center"/>
              <w:rPr>
                <w:sz w:val="18"/>
                <w:szCs w:val="18"/>
              </w:rPr>
            </w:pPr>
            <w:r w:rsidRPr="00482FB4">
              <w:rPr>
                <w:sz w:val="18"/>
                <w:szCs w:val="18"/>
              </w:rPr>
              <w:t>Mary Murray, M.D. FACOG</w:t>
            </w:r>
          </w:p>
          <w:p w14:paraId="083A6D97" w14:textId="5A70B299" w:rsidR="00E90670" w:rsidRPr="00692187" w:rsidRDefault="00E90670" w:rsidP="002675A8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Erika Schaeffer, M.D.</w:t>
            </w:r>
          </w:p>
        </w:tc>
      </w:tr>
    </w:tbl>
    <w:p w14:paraId="20F3653A" w14:textId="77777777" w:rsidR="00BB48CF" w:rsidRDefault="00BB48CF" w:rsidP="000B1887">
      <w:pPr>
        <w:pStyle w:val="Header"/>
        <w:rPr>
          <w:sz w:val="16"/>
          <w:szCs w:val="16"/>
        </w:rPr>
      </w:pPr>
    </w:p>
    <w:p w14:paraId="347F17A5" w14:textId="77777777" w:rsidR="00D84F08" w:rsidRDefault="003B6085" w:rsidP="004C3269">
      <w:pPr>
        <w:pStyle w:val="Header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What Is the Cell-Free Fetal DNA Test</w:t>
      </w:r>
    </w:p>
    <w:p w14:paraId="0ABAE9EA" w14:textId="77777777" w:rsidR="0019714D" w:rsidRDefault="0019714D" w:rsidP="0019714D">
      <w:pPr>
        <w:pStyle w:val="Header"/>
        <w:rPr>
          <w:b/>
        </w:rPr>
      </w:pPr>
    </w:p>
    <w:p w14:paraId="3FAC68BC" w14:textId="77777777" w:rsidR="00801F39" w:rsidRDefault="00801F39" w:rsidP="003B608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3B6085">
        <w:rPr>
          <w:rFonts w:asciiTheme="minorHAnsi" w:hAnsiTheme="minorHAnsi" w:cs="Arial"/>
          <w:color w:val="000000"/>
          <w:sz w:val="22"/>
          <w:szCs w:val="22"/>
        </w:rPr>
        <w:t>The cell-free fetal</w:t>
      </w:r>
      <w:r w:rsidRPr="003B6085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3B6085">
        <w:rPr>
          <w:rFonts w:asciiTheme="minorHAnsi" w:hAnsiTheme="minorHAnsi" w:cs="Arial"/>
          <w:color w:val="000000"/>
          <w:sz w:val="22"/>
          <w:szCs w:val="22"/>
        </w:rPr>
        <w:t>DNA</w:t>
      </w:r>
      <w:r w:rsidRPr="003B6085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3B6085">
        <w:rPr>
          <w:rFonts w:asciiTheme="minorHAnsi" w:hAnsiTheme="minorHAnsi" w:cs="Arial"/>
          <w:color w:val="000000"/>
          <w:sz w:val="22"/>
          <w:szCs w:val="22"/>
        </w:rPr>
        <w:t>(cffDNA) test is a relatively new test that may be used to assess the risk of a pregnant woman's developing baby (fetus) having a</w:t>
      </w:r>
      <w:r w:rsidRPr="003B6085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3B6085">
        <w:rPr>
          <w:rFonts w:asciiTheme="minorHAnsi" w:hAnsiTheme="minorHAnsi" w:cs="Arial"/>
          <w:color w:val="000000"/>
          <w:sz w:val="22"/>
          <w:szCs w:val="22"/>
        </w:rPr>
        <w:t>chromosome</w:t>
      </w:r>
      <w:r w:rsidRPr="003B6085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3B6085">
        <w:rPr>
          <w:rFonts w:asciiTheme="minorHAnsi" w:hAnsiTheme="minorHAnsi" w:cs="Arial"/>
          <w:color w:val="000000"/>
          <w:sz w:val="22"/>
          <w:szCs w:val="22"/>
        </w:rPr>
        <w:t>disorder, such as</w:t>
      </w:r>
      <w:r w:rsidRPr="003B6085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3B6085">
        <w:rPr>
          <w:rFonts w:asciiTheme="minorHAnsi" w:hAnsiTheme="minorHAnsi" w:cs="Arial"/>
          <w:color w:val="000000"/>
          <w:sz w:val="22"/>
          <w:szCs w:val="22"/>
        </w:rPr>
        <w:t>Down syndrome (trisomy 21),</w:t>
      </w:r>
      <w:r w:rsidRPr="003B6085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3B6085">
        <w:rPr>
          <w:rFonts w:asciiTheme="minorHAnsi" w:hAnsiTheme="minorHAnsi" w:cs="Arial"/>
          <w:color w:val="000000"/>
          <w:sz w:val="22"/>
          <w:szCs w:val="22"/>
        </w:rPr>
        <w:t>Edwards syndrome (trisomy 18), or Patau syndrome (trisomy 13). It may be used to identify other rare conditions resulting from an extra chromosome or missing piece of chromosome (microdeletion).</w:t>
      </w:r>
    </w:p>
    <w:p w14:paraId="543ACD03" w14:textId="77777777" w:rsidR="003E5C75" w:rsidRPr="003E5C75" w:rsidRDefault="003E5C75" w:rsidP="003B608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16"/>
          <w:szCs w:val="16"/>
        </w:rPr>
      </w:pPr>
    </w:p>
    <w:p w14:paraId="6ED7C853" w14:textId="77777777" w:rsidR="00801F39" w:rsidRDefault="00801F39" w:rsidP="003B608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3B6085">
        <w:rPr>
          <w:rFonts w:asciiTheme="minorHAnsi" w:hAnsiTheme="minorHAnsi" w:cs="Arial"/>
          <w:color w:val="000000"/>
          <w:sz w:val="22"/>
          <w:szCs w:val="22"/>
        </w:rPr>
        <w:t>Cell-free fetal DNA is genetic material that is released by the</w:t>
      </w:r>
      <w:r w:rsidRPr="003B6085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3B6085">
        <w:rPr>
          <w:rFonts w:asciiTheme="minorHAnsi" w:hAnsiTheme="minorHAnsi" w:cs="Arial"/>
          <w:color w:val="000000"/>
          <w:sz w:val="22"/>
          <w:szCs w:val="22"/>
        </w:rPr>
        <w:t>placenta</w:t>
      </w:r>
      <w:r w:rsidRPr="003B6085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3B6085">
        <w:rPr>
          <w:rFonts w:asciiTheme="minorHAnsi" w:hAnsiTheme="minorHAnsi" w:cs="Arial"/>
          <w:color w:val="000000"/>
          <w:sz w:val="22"/>
          <w:szCs w:val="22"/>
        </w:rPr>
        <w:t>and circulates in a woman's blood during</w:t>
      </w:r>
      <w:r w:rsidRPr="003B6085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3B6085">
        <w:rPr>
          <w:rFonts w:asciiTheme="minorHAnsi" w:hAnsiTheme="minorHAnsi" w:cs="Arial"/>
          <w:color w:val="000000"/>
          <w:sz w:val="22"/>
          <w:szCs w:val="22"/>
        </w:rPr>
        <w:t>pregnancy. It is present in small quantities starting in the first trimester and increases throughout pregnancy. CffDNA generally reflects the genetic makeup of the developing baby.</w:t>
      </w:r>
    </w:p>
    <w:p w14:paraId="672D08FE" w14:textId="77777777" w:rsidR="003E5C75" w:rsidRPr="003E5C75" w:rsidRDefault="003E5C75" w:rsidP="003B608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16"/>
          <w:szCs w:val="16"/>
        </w:rPr>
      </w:pPr>
    </w:p>
    <w:p w14:paraId="45BEE764" w14:textId="77777777" w:rsidR="00801F39" w:rsidRPr="003B6085" w:rsidRDefault="00801F39" w:rsidP="003B608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3B6085">
        <w:rPr>
          <w:rFonts w:asciiTheme="minorHAnsi" w:hAnsiTheme="minorHAnsi" w:cs="Arial"/>
          <w:color w:val="000000"/>
          <w:sz w:val="22"/>
          <w:szCs w:val="22"/>
        </w:rPr>
        <w:t>The American College of Obstetricians and Gynecologists (ACOG) currently recommends that the cffDNA test be offered to women at an increased risk for trisomy 13, 18, or 21, after pre-test</w:t>
      </w:r>
      <w:r w:rsidRPr="003B6085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3B6085">
        <w:rPr>
          <w:rFonts w:asciiTheme="minorHAnsi" w:hAnsiTheme="minorHAnsi" w:cs="Arial"/>
          <w:color w:val="000000"/>
          <w:sz w:val="22"/>
          <w:szCs w:val="22"/>
        </w:rPr>
        <w:t>genetic counseling. Factors that increase risk include:</w:t>
      </w:r>
    </w:p>
    <w:p w14:paraId="47BFCF7A" w14:textId="77777777" w:rsidR="00801F39" w:rsidRPr="003B6085" w:rsidRDefault="00801F39" w:rsidP="003E5C75">
      <w:pPr>
        <w:numPr>
          <w:ilvl w:val="0"/>
          <w:numId w:val="19"/>
        </w:numPr>
        <w:shd w:val="clear" w:color="auto" w:fill="FFFFFF"/>
        <w:rPr>
          <w:rFonts w:cs="Arial"/>
          <w:color w:val="000000"/>
          <w:sz w:val="22"/>
          <w:szCs w:val="22"/>
        </w:rPr>
      </w:pPr>
      <w:r w:rsidRPr="003B6085">
        <w:rPr>
          <w:rFonts w:cs="Arial"/>
          <w:color w:val="000000"/>
          <w:sz w:val="22"/>
          <w:szCs w:val="22"/>
        </w:rPr>
        <w:t>Advanced maternal age: 35 years or older</w:t>
      </w:r>
    </w:p>
    <w:p w14:paraId="24876798" w14:textId="77777777" w:rsidR="00801F39" w:rsidRPr="003B6085" w:rsidRDefault="00801F39" w:rsidP="003E5C75">
      <w:pPr>
        <w:numPr>
          <w:ilvl w:val="0"/>
          <w:numId w:val="19"/>
        </w:numPr>
        <w:shd w:val="clear" w:color="auto" w:fill="FFFFFF"/>
        <w:rPr>
          <w:rFonts w:cs="Arial"/>
          <w:color w:val="000000"/>
          <w:sz w:val="22"/>
          <w:szCs w:val="22"/>
        </w:rPr>
      </w:pPr>
      <w:r w:rsidRPr="003B6085">
        <w:rPr>
          <w:rFonts w:cs="Arial"/>
          <w:color w:val="000000"/>
          <w:sz w:val="22"/>
          <w:szCs w:val="22"/>
        </w:rPr>
        <w:t>A fetal ultrasound result that indicates an increased risk of a chromosome abnormality</w:t>
      </w:r>
    </w:p>
    <w:p w14:paraId="799DF7C0" w14:textId="77777777" w:rsidR="00801F39" w:rsidRPr="003B6085" w:rsidRDefault="00801F39" w:rsidP="003E5C75">
      <w:pPr>
        <w:numPr>
          <w:ilvl w:val="0"/>
          <w:numId w:val="19"/>
        </w:numPr>
        <w:shd w:val="clear" w:color="auto" w:fill="FFFFFF"/>
        <w:rPr>
          <w:rFonts w:cs="Arial"/>
          <w:color w:val="000000"/>
          <w:sz w:val="22"/>
          <w:szCs w:val="22"/>
        </w:rPr>
      </w:pPr>
      <w:r w:rsidRPr="003B6085">
        <w:rPr>
          <w:rFonts w:cs="Arial"/>
          <w:color w:val="000000"/>
          <w:sz w:val="22"/>
          <w:szCs w:val="22"/>
        </w:rPr>
        <w:t>A previous pregnancy with a trisomy</w:t>
      </w:r>
    </w:p>
    <w:p w14:paraId="3C36702B" w14:textId="77777777" w:rsidR="00801F39" w:rsidRPr="003B6085" w:rsidRDefault="00801F39" w:rsidP="003E5C75">
      <w:pPr>
        <w:numPr>
          <w:ilvl w:val="0"/>
          <w:numId w:val="19"/>
        </w:numPr>
        <w:shd w:val="clear" w:color="auto" w:fill="FFFFFF"/>
        <w:rPr>
          <w:rFonts w:cs="Arial"/>
          <w:color w:val="000000"/>
          <w:sz w:val="22"/>
          <w:szCs w:val="22"/>
        </w:rPr>
      </w:pPr>
      <w:r w:rsidRPr="003B6085">
        <w:rPr>
          <w:rFonts w:cs="Arial"/>
          <w:color w:val="000000"/>
          <w:sz w:val="22"/>
          <w:szCs w:val="22"/>
        </w:rPr>
        <w:t>A positive</w:t>
      </w:r>
      <w:r w:rsidRPr="003B6085">
        <w:rPr>
          <w:rStyle w:val="apple-converted-space"/>
          <w:rFonts w:cs="Arial"/>
          <w:color w:val="000000"/>
          <w:sz w:val="22"/>
          <w:szCs w:val="22"/>
        </w:rPr>
        <w:t> </w:t>
      </w:r>
      <w:r w:rsidRPr="003B6085">
        <w:rPr>
          <w:rFonts w:cs="Arial"/>
          <w:color w:val="000000"/>
          <w:sz w:val="22"/>
          <w:szCs w:val="22"/>
        </w:rPr>
        <w:t>first-trimester</w:t>
      </w:r>
      <w:r w:rsidRPr="003B6085">
        <w:rPr>
          <w:rStyle w:val="apple-converted-space"/>
          <w:rFonts w:cs="Arial"/>
          <w:color w:val="000000"/>
          <w:sz w:val="22"/>
          <w:szCs w:val="22"/>
        </w:rPr>
        <w:t> </w:t>
      </w:r>
      <w:r w:rsidRPr="003B6085">
        <w:rPr>
          <w:rFonts w:cs="Arial"/>
          <w:color w:val="000000"/>
          <w:sz w:val="22"/>
          <w:szCs w:val="22"/>
        </w:rPr>
        <w:t>or</w:t>
      </w:r>
      <w:r w:rsidRPr="003B6085">
        <w:rPr>
          <w:rStyle w:val="apple-converted-space"/>
          <w:rFonts w:cs="Arial"/>
          <w:color w:val="000000"/>
          <w:sz w:val="22"/>
          <w:szCs w:val="22"/>
        </w:rPr>
        <w:t> </w:t>
      </w:r>
      <w:r w:rsidRPr="003B6085">
        <w:rPr>
          <w:rFonts w:cs="Arial"/>
          <w:color w:val="000000"/>
          <w:sz w:val="22"/>
          <w:szCs w:val="22"/>
        </w:rPr>
        <w:t>second trimester maternal screening test</w:t>
      </w:r>
    </w:p>
    <w:p w14:paraId="0F79FF5C" w14:textId="77777777" w:rsidR="00801F39" w:rsidRDefault="00801F39" w:rsidP="003E5C75">
      <w:pPr>
        <w:numPr>
          <w:ilvl w:val="0"/>
          <w:numId w:val="19"/>
        </w:numPr>
        <w:shd w:val="clear" w:color="auto" w:fill="FFFFFF"/>
        <w:rPr>
          <w:rFonts w:cs="Arial"/>
          <w:color w:val="000000"/>
          <w:sz w:val="22"/>
          <w:szCs w:val="22"/>
        </w:rPr>
      </w:pPr>
      <w:r w:rsidRPr="003B6085">
        <w:rPr>
          <w:rFonts w:cs="Arial"/>
          <w:color w:val="000000"/>
          <w:sz w:val="22"/>
          <w:szCs w:val="22"/>
        </w:rPr>
        <w:t>A known balanced chromosome translocation (switched chromosome pieces) in the mother or father that is associated with trisomy 13, 18, or 21</w:t>
      </w:r>
    </w:p>
    <w:p w14:paraId="564628D0" w14:textId="77777777" w:rsidR="003E5C75" w:rsidRPr="003E5C75" w:rsidRDefault="003E5C75" w:rsidP="003E5C75">
      <w:pPr>
        <w:shd w:val="clear" w:color="auto" w:fill="FFFFFF"/>
        <w:rPr>
          <w:rFonts w:cs="Arial"/>
          <w:color w:val="000000"/>
          <w:sz w:val="16"/>
          <w:szCs w:val="16"/>
        </w:rPr>
      </w:pPr>
    </w:p>
    <w:p w14:paraId="5C989CD6" w14:textId="77777777" w:rsidR="00801F39" w:rsidRDefault="00801F39" w:rsidP="003B608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3B6085">
        <w:rPr>
          <w:rFonts w:asciiTheme="minorHAnsi" w:hAnsiTheme="minorHAnsi" w:cs="Arial"/>
          <w:color w:val="000000"/>
          <w:sz w:val="22"/>
          <w:szCs w:val="22"/>
        </w:rPr>
        <w:t>Current routine prenatal testing includes the first trimester Down syndrome screen and the second trimester maternal serum screen. While studies have shown that the cffDNA test can be more</w:t>
      </w:r>
      <w:r w:rsidRPr="003B6085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3B6085">
        <w:rPr>
          <w:rFonts w:asciiTheme="minorHAnsi" w:hAnsiTheme="minorHAnsi" w:cs="Arial"/>
          <w:color w:val="000000"/>
          <w:sz w:val="22"/>
          <w:szCs w:val="22"/>
        </w:rPr>
        <w:t>specific</w:t>
      </w:r>
      <w:r w:rsidRPr="003B6085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3B6085">
        <w:rPr>
          <w:rFonts w:asciiTheme="minorHAnsi" w:hAnsiTheme="minorHAnsi" w:cs="Arial"/>
          <w:color w:val="000000"/>
          <w:sz w:val="22"/>
          <w:szCs w:val="22"/>
        </w:rPr>
        <w:t>and</w:t>
      </w:r>
      <w:r w:rsidRPr="003B6085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3B6085">
        <w:rPr>
          <w:rFonts w:asciiTheme="minorHAnsi" w:hAnsiTheme="minorHAnsi" w:cs="Arial"/>
          <w:color w:val="000000"/>
          <w:sz w:val="22"/>
          <w:szCs w:val="22"/>
        </w:rPr>
        <w:t>sensitive</w:t>
      </w:r>
      <w:r w:rsidRPr="003B6085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3B6085">
        <w:rPr>
          <w:rFonts w:asciiTheme="minorHAnsi" w:hAnsiTheme="minorHAnsi" w:cs="Arial"/>
          <w:color w:val="000000"/>
          <w:sz w:val="22"/>
          <w:szCs w:val="22"/>
        </w:rPr>
        <w:t>than these routine tests in high-risk women, ACOG currently recommends that the cffDNA test be offered separately, not incorporated into routine prenatal testing. The routine second trimester maternal serum screen detects</w:t>
      </w:r>
      <w:r w:rsidRPr="003B6085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3B6085">
        <w:rPr>
          <w:rFonts w:asciiTheme="minorHAnsi" w:hAnsiTheme="minorHAnsi" w:cs="Arial"/>
          <w:color w:val="000000"/>
          <w:sz w:val="22"/>
          <w:szCs w:val="22"/>
        </w:rPr>
        <w:t>neural tube defects</w:t>
      </w:r>
      <w:r w:rsidRPr="003B6085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3B6085">
        <w:rPr>
          <w:rFonts w:asciiTheme="minorHAnsi" w:hAnsiTheme="minorHAnsi" w:cs="Arial"/>
          <w:color w:val="000000"/>
          <w:sz w:val="22"/>
          <w:szCs w:val="22"/>
        </w:rPr>
        <w:t>as well as chromosome disorders.</w:t>
      </w:r>
    </w:p>
    <w:p w14:paraId="65C59F72" w14:textId="77777777" w:rsidR="003E5C75" w:rsidRPr="003E5C75" w:rsidRDefault="003E5C75" w:rsidP="003B608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16"/>
          <w:szCs w:val="16"/>
        </w:rPr>
      </w:pPr>
    </w:p>
    <w:p w14:paraId="6982D338" w14:textId="77777777" w:rsidR="00801F39" w:rsidRPr="003B6085" w:rsidRDefault="00801F39" w:rsidP="003B608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3B6085">
        <w:rPr>
          <w:rFonts w:asciiTheme="minorHAnsi" w:hAnsiTheme="minorHAnsi" w:cs="Arial"/>
          <w:color w:val="000000"/>
          <w:sz w:val="22"/>
          <w:szCs w:val="22"/>
        </w:rPr>
        <w:t>The cffDNA test is used as a screening test, not a diagnostic test. If there are abnormal findings in routine prenatal testing or in cffDNA testing, then more invasive confirmatory testing using procedures such as</w:t>
      </w:r>
      <w:r w:rsidRPr="003B6085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3B6085">
        <w:rPr>
          <w:rFonts w:asciiTheme="minorHAnsi" w:hAnsiTheme="minorHAnsi" w:cs="Arial"/>
          <w:color w:val="000000"/>
          <w:sz w:val="22"/>
          <w:szCs w:val="22"/>
        </w:rPr>
        <w:t>chorionic villus sampling (CVS) or</w:t>
      </w:r>
      <w:r w:rsidRPr="003B6085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3B6085">
        <w:rPr>
          <w:rFonts w:asciiTheme="minorHAnsi" w:hAnsiTheme="minorHAnsi" w:cs="Arial"/>
          <w:color w:val="000000"/>
          <w:sz w:val="22"/>
          <w:szCs w:val="22"/>
        </w:rPr>
        <w:t>amniocentesis</w:t>
      </w:r>
      <w:r w:rsidRPr="003B6085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3B6085">
        <w:rPr>
          <w:rFonts w:asciiTheme="minorHAnsi" w:hAnsiTheme="minorHAnsi" w:cs="Arial"/>
          <w:color w:val="000000"/>
          <w:sz w:val="22"/>
          <w:szCs w:val="22"/>
        </w:rPr>
        <w:t>may be indicated to diagnose a chromosome abnormality.</w:t>
      </w:r>
    </w:p>
    <w:p w14:paraId="5AEE0061" w14:textId="77777777" w:rsidR="00801F39" w:rsidRPr="003E5C75" w:rsidRDefault="00801F39" w:rsidP="003E5C75">
      <w:pPr>
        <w:pStyle w:val="backtotop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16"/>
          <w:szCs w:val="16"/>
        </w:rPr>
      </w:pPr>
    </w:p>
    <w:p w14:paraId="77917ECC" w14:textId="77777777" w:rsidR="00801F39" w:rsidRPr="003B6085" w:rsidRDefault="00801F39" w:rsidP="003B6085">
      <w:pPr>
        <w:pStyle w:val="Heading3"/>
        <w:shd w:val="clear" w:color="auto" w:fill="FFFFFF"/>
        <w:spacing w:before="0"/>
        <w:rPr>
          <w:rFonts w:asciiTheme="minorHAnsi" w:hAnsiTheme="minorHAnsi" w:cs="Helvetica"/>
          <w:color w:val="000000"/>
          <w:sz w:val="22"/>
          <w:szCs w:val="22"/>
        </w:rPr>
      </w:pPr>
      <w:bookmarkStart w:id="0" w:name="when"/>
      <w:bookmarkEnd w:id="0"/>
      <w:r w:rsidRPr="003B6085">
        <w:rPr>
          <w:rFonts w:asciiTheme="minorHAnsi" w:hAnsiTheme="minorHAnsi" w:cs="Helvetica"/>
          <w:color w:val="000000"/>
          <w:sz w:val="22"/>
          <w:szCs w:val="22"/>
        </w:rPr>
        <w:t>When is it ordered?</w:t>
      </w:r>
    </w:p>
    <w:p w14:paraId="23BA5817" w14:textId="77777777" w:rsidR="00801F39" w:rsidRPr="003B6085" w:rsidRDefault="00801F39" w:rsidP="003B608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3B6085">
        <w:rPr>
          <w:rFonts w:asciiTheme="minorHAnsi" w:hAnsiTheme="minorHAnsi" w:cs="Arial"/>
          <w:color w:val="000000"/>
          <w:sz w:val="22"/>
          <w:szCs w:val="22"/>
        </w:rPr>
        <w:t>The cell-free fetal DNA test may be ordered:</w:t>
      </w:r>
    </w:p>
    <w:p w14:paraId="3ED2271F" w14:textId="77777777" w:rsidR="00801F39" w:rsidRPr="003B6085" w:rsidRDefault="00801F39" w:rsidP="003E5C75">
      <w:pPr>
        <w:numPr>
          <w:ilvl w:val="0"/>
          <w:numId w:val="20"/>
        </w:numPr>
        <w:shd w:val="clear" w:color="auto" w:fill="FFFFFF"/>
        <w:rPr>
          <w:rFonts w:cs="Arial"/>
          <w:color w:val="000000"/>
          <w:sz w:val="22"/>
          <w:szCs w:val="22"/>
        </w:rPr>
      </w:pPr>
      <w:r w:rsidRPr="003B6085">
        <w:rPr>
          <w:rFonts w:cs="Arial"/>
          <w:color w:val="000000"/>
          <w:sz w:val="22"/>
          <w:szCs w:val="22"/>
        </w:rPr>
        <w:t>During or after the tenth week of</w:t>
      </w:r>
      <w:r w:rsidRPr="003B6085">
        <w:rPr>
          <w:rStyle w:val="apple-converted-space"/>
          <w:rFonts w:cs="Arial"/>
          <w:color w:val="000000"/>
          <w:sz w:val="22"/>
          <w:szCs w:val="22"/>
        </w:rPr>
        <w:t> </w:t>
      </w:r>
      <w:r w:rsidRPr="003B6085">
        <w:rPr>
          <w:rFonts w:cs="Arial"/>
          <w:color w:val="000000"/>
          <w:sz w:val="22"/>
          <w:szCs w:val="22"/>
        </w:rPr>
        <w:t>pregnancy</w:t>
      </w:r>
    </w:p>
    <w:p w14:paraId="1F33B604" w14:textId="77777777" w:rsidR="00801F39" w:rsidRPr="003B6085" w:rsidRDefault="00801F39" w:rsidP="003E5C75">
      <w:pPr>
        <w:numPr>
          <w:ilvl w:val="0"/>
          <w:numId w:val="20"/>
        </w:numPr>
        <w:shd w:val="clear" w:color="auto" w:fill="FFFFFF"/>
        <w:rPr>
          <w:rFonts w:cs="Arial"/>
          <w:color w:val="000000"/>
          <w:sz w:val="22"/>
          <w:szCs w:val="22"/>
        </w:rPr>
      </w:pPr>
      <w:r w:rsidRPr="003B6085">
        <w:rPr>
          <w:rFonts w:cs="Arial"/>
          <w:color w:val="000000"/>
          <w:sz w:val="22"/>
          <w:szCs w:val="22"/>
        </w:rPr>
        <w:t>When a woman is at an increased risk of having a baby with a</w:t>
      </w:r>
      <w:r w:rsidRPr="003B6085">
        <w:rPr>
          <w:rStyle w:val="apple-converted-space"/>
          <w:rFonts w:cs="Arial"/>
          <w:color w:val="000000"/>
          <w:sz w:val="22"/>
          <w:szCs w:val="22"/>
        </w:rPr>
        <w:t> </w:t>
      </w:r>
      <w:r w:rsidRPr="003B6085">
        <w:rPr>
          <w:rFonts w:cs="Arial"/>
          <w:color w:val="000000"/>
          <w:sz w:val="22"/>
          <w:szCs w:val="22"/>
        </w:rPr>
        <w:t>chromosome</w:t>
      </w:r>
      <w:r w:rsidRPr="003B6085">
        <w:rPr>
          <w:rStyle w:val="apple-converted-space"/>
          <w:rFonts w:cs="Arial"/>
          <w:color w:val="000000"/>
          <w:sz w:val="22"/>
          <w:szCs w:val="22"/>
        </w:rPr>
        <w:t> </w:t>
      </w:r>
      <w:r w:rsidRPr="003B6085">
        <w:rPr>
          <w:rFonts w:cs="Arial"/>
          <w:color w:val="000000"/>
          <w:sz w:val="22"/>
          <w:szCs w:val="22"/>
        </w:rPr>
        <w:t>disorder</w:t>
      </w:r>
    </w:p>
    <w:p w14:paraId="1DDA848F" w14:textId="77777777" w:rsidR="00801F39" w:rsidRPr="003B6085" w:rsidRDefault="00801F39" w:rsidP="003E5C75">
      <w:pPr>
        <w:numPr>
          <w:ilvl w:val="0"/>
          <w:numId w:val="20"/>
        </w:numPr>
        <w:shd w:val="clear" w:color="auto" w:fill="FFFFFF"/>
        <w:rPr>
          <w:rFonts w:cs="Arial"/>
          <w:color w:val="000000"/>
          <w:sz w:val="22"/>
          <w:szCs w:val="22"/>
        </w:rPr>
      </w:pPr>
      <w:r w:rsidRPr="003B6085">
        <w:rPr>
          <w:rFonts w:cs="Arial"/>
          <w:color w:val="000000"/>
          <w:sz w:val="22"/>
          <w:szCs w:val="22"/>
        </w:rPr>
        <w:t>After pre-test</w:t>
      </w:r>
      <w:r w:rsidRPr="003B6085">
        <w:rPr>
          <w:rStyle w:val="apple-converted-space"/>
          <w:rFonts w:cs="Arial"/>
          <w:color w:val="000000"/>
          <w:sz w:val="22"/>
          <w:szCs w:val="22"/>
        </w:rPr>
        <w:t> </w:t>
      </w:r>
      <w:r w:rsidRPr="003B6085">
        <w:rPr>
          <w:rFonts w:cs="Arial"/>
          <w:color w:val="000000"/>
          <w:sz w:val="22"/>
          <w:szCs w:val="22"/>
        </w:rPr>
        <w:t>genetic counseling</w:t>
      </w:r>
    </w:p>
    <w:p w14:paraId="631C11E7" w14:textId="77777777" w:rsidR="00801F39" w:rsidRPr="003E5C75" w:rsidRDefault="00801F39" w:rsidP="003B6085">
      <w:pPr>
        <w:pStyle w:val="Heading3"/>
        <w:shd w:val="clear" w:color="auto" w:fill="FFFFFF"/>
        <w:spacing w:before="0"/>
        <w:rPr>
          <w:rFonts w:asciiTheme="minorHAnsi" w:hAnsiTheme="minorHAnsi" w:cs="Helvetica"/>
          <w:color w:val="000000"/>
          <w:sz w:val="16"/>
          <w:szCs w:val="16"/>
        </w:rPr>
      </w:pPr>
      <w:bookmarkStart w:id="1" w:name="what"/>
      <w:bookmarkEnd w:id="1"/>
    </w:p>
    <w:p w14:paraId="46E7AE59" w14:textId="77777777" w:rsidR="00801F39" w:rsidRPr="003B6085" w:rsidRDefault="00801F39" w:rsidP="003B6085">
      <w:pPr>
        <w:pStyle w:val="Heading3"/>
        <w:shd w:val="clear" w:color="auto" w:fill="FFFFFF"/>
        <w:spacing w:before="0"/>
        <w:rPr>
          <w:rFonts w:asciiTheme="minorHAnsi" w:hAnsiTheme="minorHAnsi" w:cs="Helvetica"/>
          <w:color w:val="000000"/>
          <w:sz w:val="22"/>
          <w:szCs w:val="22"/>
        </w:rPr>
      </w:pPr>
      <w:r w:rsidRPr="003B6085">
        <w:rPr>
          <w:rFonts w:asciiTheme="minorHAnsi" w:hAnsiTheme="minorHAnsi" w:cs="Helvetica"/>
          <w:color w:val="000000"/>
          <w:sz w:val="22"/>
          <w:szCs w:val="22"/>
        </w:rPr>
        <w:t>What does the test result mean?</w:t>
      </w:r>
    </w:p>
    <w:p w14:paraId="41186798" w14:textId="77777777" w:rsidR="00801F39" w:rsidRPr="003B6085" w:rsidRDefault="00801F39" w:rsidP="003B608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3B6085">
        <w:rPr>
          <w:rFonts w:asciiTheme="minorHAnsi" w:hAnsiTheme="minorHAnsi" w:cs="Arial"/>
          <w:color w:val="000000"/>
          <w:sz w:val="22"/>
          <w:szCs w:val="22"/>
        </w:rPr>
        <w:t>A negative cffDNA test result means that it is very unlikely that the baby has trisomy 13, 18, or 21. If the test is negative for other</w:t>
      </w:r>
      <w:r w:rsidRPr="003B6085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3B6085">
        <w:rPr>
          <w:rFonts w:asciiTheme="minorHAnsi" w:hAnsiTheme="minorHAnsi" w:cs="Arial"/>
          <w:color w:val="000000"/>
          <w:sz w:val="22"/>
          <w:szCs w:val="22"/>
        </w:rPr>
        <w:t>chromosomal</w:t>
      </w:r>
      <w:r w:rsidRPr="003B6085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3B6085">
        <w:rPr>
          <w:rFonts w:asciiTheme="minorHAnsi" w:hAnsiTheme="minorHAnsi" w:cs="Arial"/>
          <w:color w:val="000000"/>
          <w:sz w:val="22"/>
          <w:szCs w:val="22"/>
        </w:rPr>
        <w:t xml:space="preserve">abnormalities that the laboratory tested for, then it is unlikely that the baby is affected by those. However, these </w:t>
      </w:r>
      <w:proofErr w:type="spellStart"/>
      <w:r w:rsidRPr="003B6085">
        <w:rPr>
          <w:rFonts w:asciiTheme="minorHAnsi" w:hAnsiTheme="minorHAnsi" w:cs="Arial"/>
          <w:color w:val="000000"/>
          <w:sz w:val="22"/>
          <w:szCs w:val="22"/>
        </w:rPr>
        <w:t>trisomies</w:t>
      </w:r>
      <w:proofErr w:type="spellEnd"/>
      <w:r w:rsidRPr="003B6085">
        <w:rPr>
          <w:rFonts w:asciiTheme="minorHAnsi" w:hAnsiTheme="minorHAnsi" w:cs="Arial"/>
          <w:color w:val="000000"/>
          <w:sz w:val="22"/>
          <w:szCs w:val="22"/>
        </w:rPr>
        <w:t xml:space="preserve"> or genetic defects cannot be entirely ruled out, and other chromosome abnormalities could still be present.</w:t>
      </w:r>
      <w:r w:rsidR="003E5C75"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 w:rsidRPr="003B6085">
        <w:rPr>
          <w:rFonts w:asciiTheme="minorHAnsi" w:hAnsiTheme="minorHAnsi" w:cs="Arial"/>
          <w:color w:val="000000"/>
          <w:sz w:val="22"/>
          <w:szCs w:val="22"/>
        </w:rPr>
        <w:t>If a cffDNA screen is positive, then the fetus is at an increased risk of having the identified abnormality. However, the test is not diagnostic. The performance of more invasive procedures, including</w:t>
      </w:r>
      <w:r w:rsidRPr="003B6085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3B6085">
        <w:rPr>
          <w:rFonts w:asciiTheme="minorHAnsi" w:hAnsiTheme="minorHAnsi" w:cs="Arial"/>
          <w:color w:val="000000"/>
          <w:sz w:val="22"/>
          <w:szCs w:val="22"/>
        </w:rPr>
        <w:t>chorionic villus sampling (CVS)</w:t>
      </w:r>
      <w:r w:rsidRPr="003B6085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3B6085">
        <w:rPr>
          <w:rFonts w:asciiTheme="minorHAnsi" w:hAnsiTheme="minorHAnsi" w:cs="Arial"/>
          <w:color w:val="000000"/>
          <w:sz w:val="22"/>
          <w:szCs w:val="22"/>
        </w:rPr>
        <w:t>between the tenth and twelfth week of</w:t>
      </w:r>
      <w:r w:rsidRPr="003B6085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3B6085">
        <w:rPr>
          <w:rFonts w:asciiTheme="minorHAnsi" w:hAnsiTheme="minorHAnsi" w:cs="Arial"/>
          <w:color w:val="000000"/>
          <w:sz w:val="22"/>
          <w:szCs w:val="22"/>
        </w:rPr>
        <w:t>pregnancy</w:t>
      </w:r>
      <w:r w:rsidRPr="003B6085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3B6085">
        <w:rPr>
          <w:rFonts w:asciiTheme="minorHAnsi" w:hAnsiTheme="minorHAnsi" w:cs="Arial"/>
          <w:color w:val="000000"/>
          <w:sz w:val="22"/>
          <w:szCs w:val="22"/>
        </w:rPr>
        <w:t>or an</w:t>
      </w:r>
      <w:r w:rsidRPr="003B6085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3B6085">
        <w:rPr>
          <w:rFonts w:asciiTheme="minorHAnsi" w:hAnsiTheme="minorHAnsi" w:cs="Arial"/>
          <w:color w:val="000000"/>
          <w:sz w:val="22"/>
          <w:szCs w:val="22"/>
        </w:rPr>
        <w:t>amniocentesis</w:t>
      </w:r>
      <w:r w:rsidRPr="003B6085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3B6085">
        <w:rPr>
          <w:rFonts w:asciiTheme="minorHAnsi" w:hAnsiTheme="minorHAnsi" w:cs="Arial"/>
          <w:color w:val="000000"/>
          <w:sz w:val="22"/>
          <w:szCs w:val="22"/>
        </w:rPr>
        <w:t>procedure between 15 and 20 weeks of pregnancy, and subsequent chromosome analysis is required to rule out or diagnose a chromosomal abnormality.</w:t>
      </w:r>
    </w:p>
    <w:p w14:paraId="604B1533" w14:textId="77777777" w:rsidR="00801F39" w:rsidRPr="003B6085" w:rsidRDefault="00801F39" w:rsidP="003B608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3B6085">
        <w:rPr>
          <w:rFonts w:asciiTheme="minorHAnsi" w:hAnsiTheme="minorHAnsi" w:cs="Arial"/>
          <w:color w:val="000000"/>
          <w:sz w:val="22"/>
          <w:szCs w:val="22"/>
        </w:rPr>
        <w:t>Questions on interpreting the results of a cffDNA are usually best answered by someone experienced in</w:t>
      </w:r>
      <w:r w:rsidRPr="003B6085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3B6085">
        <w:rPr>
          <w:rFonts w:asciiTheme="minorHAnsi" w:hAnsiTheme="minorHAnsi" w:cs="Arial"/>
          <w:color w:val="000000"/>
          <w:sz w:val="22"/>
          <w:szCs w:val="22"/>
        </w:rPr>
        <w:t>genetic counseling.</w:t>
      </w:r>
    </w:p>
    <w:p w14:paraId="3B791D58" w14:textId="77777777" w:rsidR="00801F39" w:rsidRPr="0019714D" w:rsidRDefault="00801F39" w:rsidP="00801F39">
      <w:pPr>
        <w:pStyle w:val="Header"/>
        <w:rPr>
          <w:rFonts w:eastAsia="Times New Roman" w:cs="Helvetica"/>
          <w:spacing w:val="-6"/>
          <w:kern w:val="36"/>
        </w:rPr>
      </w:pPr>
    </w:p>
    <w:sectPr w:rsidR="00801F39" w:rsidRPr="0019714D" w:rsidSect="000B18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25534"/>
    <w:multiLevelType w:val="multilevel"/>
    <w:tmpl w:val="D7D246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2079A"/>
    <w:multiLevelType w:val="hybridMultilevel"/>
    <w:tmpl w:val="88D84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A5F7D"/>
    <w:multiLevelType w:val="hybridMultilevel"/>
    <w:tmpl w:val="F0EAC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47171"/>
    <w:multiLevelType w:val="multilevel"/>
    <w:tmpl w:val="AF6069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BF240C"/>
    <w:multiLevelType w:val="multilevel"/>
    <w:tmpl w:val="58C6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6B43E3"/>
    <w:multiLevelType w:val="hybridMultilevel"/>
    <w:tmpl w:val="3AC4F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2444F"/>
    <w:multiLevelType w:val="hybridMultilevel"/>
    <w:tmpl w:val="9F9CC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F1FF2"/>
    <w:multiLevelType w:val="multilevel"/>
    <w:tmpl w:val="9DAE8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551DC4"/>
    <w:multiLevelType w:val="multilevel"/>
    <w:tmpl w:val="2C261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3035C1"/>
    <w:multiLevelType w:val="hybridMultilevel"/>
    <w:tmpl w:val="B5CE2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F0325"/>
    <w:multiLevelType w:val="hybridMultilevel"/>
    <w:tmpl w:val="92600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375A8"/>
    <w:multiLevelType w:val="multilevel"/>
    <w:tmpl w:val="DA9C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9F5555"/>
    <w:multiLevelType w:val="hybridMultilevel"/>
    <w:tmpl w:val="94FAA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74A50"/>
    <w:multiLevelType w:val="hybridMultilevel"/>
    <w:tmpl w:val="E63AE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7D229D"/>
    <w:multiLevelType w:val="hybridMultilevel"/>
    <w:tmpl w:val="2FA65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4C45E1"/>
    <w:multiLevelType w:val="hybridMultilevel"/>
    <w:tmpl w:val="29364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04B90"/>
    <w:multiLevelType w:val="hybridMultilevel"/>
    <w:tmpl w:val="42F88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776A1"/>
    <w:multiLevelType w:val="hybridMultilevel"/>
    <w:tmpl w:val="A15A6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7A63CC"/>
    <w:multiLevelType w:val="hybridMultilevel"/>
    <w:tmpl w:val="A2285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9A1A1E"/>
    <w:multiLevelType w:val="hybridMultilevel"/>
    <w:tmpl w:val="4ABA48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9"/>
  </w:num>
  <w:num w:numId="4">
    <w:abstractNumId w:val="14"/>
  </w:num>
  <w:num w:numId="5">
    <w:abstractNumId w:val="15"/>
  </w:num>
  <w:num w:numId="6">
    <w:abstractNumId w:val="5"/>
  </w:num>
  <w:num w:numId="7">
    <w:abstractNumId w:val="6"/>
  </w:num>
  <w:num w:numId="8">
    <w:abstractNumId w:val="1"/>
  </w:num>
  <w:num w:numId="9">
    <w:abstractNumId w:val="10"/>
  </w:num>
  <w:num w:numId="10">
    <w:abstractNumId w:val="12"/>
  </w:num>
  <w:num w:numId="11">
    <w:abstractNumId w:val="18"/>
  </w:num>
  <w:num w:numId="12">
    <w:abstractNumId w:val="13"/>
  </w:num>
  <w:num w:numId="13">
    <w:abstractNumId w:val="4"/>
  </w:num>
  <w:num w:numId="14">
    <w:abstractNumId w:val="17"/>
  </w:num>
  <w:num w:numId="15">
    <w:abstractNumId w:val="11"/>
  </w:num>
  <w:num w:numId="16">
    <w:abstractNumId w:val="19"/>
  </w:num>
  <w:num w:numId="17">
    <w:abstractNumId w:val="8"/>
  </w:num>
  <w:num w:numId="18">
    <w:abstractNumId w:val="7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545"/>
    <w:rsid w:val="000006BA"/>
    <w:rsid w:val="000115C8"/>
    <w:rsid w:val="00040203"/>
    <w:rsid w:val="000757D4"/>
    <w:rsid w:val="00083306"/>
    <w:rsid w:val="0009536A"/>
    <w:rsid w:val="000B1887"/>
    <w:rsid w:val="00116BBC"/>
    <w:rsid w:val="001912A7"/>
    <w:rsid w:val="00192B87"/>
    <w:rsid w:val="00196949"/>
    <w:rsid w:val="0019714D"/>
    <w:rsid w:val="001C25AC"/>
    <w:rsid w:val="0028491A"/>
    <w:rsid w:val="00287EA9"/>
    <w:rsid w:val="00316FE9"/>
    <w:rsid w:val="00396A22"/>
    <w:rsid w:val="003B6085"/>
    <w:rsid w:val="003D35E5"/>
    <w:rsid w:val="003E5C75"/>
    <w:rsid w:val="004169CD"/>
    <w:rsid w:val="004265E2"/>
    <w:rsid w:val="00484A70"/>
    <w:rsid w:val="004C3269"/>
    <w:rsid w:val="005078F3"/>
    <w:rsid w:val="0055235C"/>
    <w:rsid w:val="005745C7"/>
    <w:rsid w:val="005B7727"/>
    <w:rsid w:val="005C37D2"/>
    <w:rsid w:val="00626DF1"/>
    <w:rsid w:val="0066665B"/>
    <w:rsid w:val="00667C8C"/>
    <w:rsid w:val="0067064D"/>
    <w:rsid w:val="00680C8F"/>
    <w:rsid w:val="00692187"/>
    <w:rsid w:val="006D1EA3"/>
    <w:rsid w:val="00705A4C"/>
    <w:rsid w:val="0074309A"/>
    <w:rsid w:val="00792179"/>
    <w:rsid w:val="00801F39"/>
    <w:rsid w:val="008D04B8"/>
    <w:rsid w:val="00935731"/>
    <w:rsid w:val="00961596"/>
    <w:rsid w:val="00965E8F"/>
    <w:rsid w:val="009B3EE8"/>
    <w:rsid w:val="009F3B0B"/>
    <w:rsid w:val="00A454F0"/>
    <w:rsid w:val="00AF57A2"/>
    <w:rsid w:val="00B107A3"/>
    <w:rsid w:val="00B644CE"/>
    <w:rsid w:val="00BB214A"/>
    <w:rsid w:val="00BB48CF"/>
    <w:rsid w:val="00BD2EC4"/>
    <w:rsid w:val="00C140A5"/>
    <w:rsid w:val="00C528C5"/>
    <w:rsid w:val="00C537C9"/>
    <w:rsid w:val="00CC175C"/>
    <w:rsid w:val="00CD5F83"/>
    <w:rsid w:val="00CF6044"/>
    <w:rsid w:val="00D24DB9"/>
    <w:rsid w:val="00D44995"/>
    <w:rsid w:val="00D44A1E"/>
    <w:rsid w:val="00D65E47"/>
    <w:rsid w:val="00D84F08"/>
    <w:rsid w:val="00D87FFB"/>
    <w:rsid w:val="00DB542B"/>
    <w:rsid w:val="00E348B7"/>
    <w:rsid w:val="00E65BC8"/>
    <w:rsid w:val="00E72E01"/>
    <w:rsid w:val="00E86545"/>
    <w:rsid w:val="00E8709C"/>
    <w:rsid w:val="00E90670"/>
    <w:rsid w:val="00F14055"/>
    <w:rsid w:val="00FC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F057B"/>
  <w15:chartTrackingRefBased/>
  <w15:docId w15:val="{49CF378E-1A4A-4B75-840D-5FE0ABC0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545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84F0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32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326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545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86545"/>
  </w:style>
  <w:style w:type="table" w:styleId="TableGrid">
    <w:name w:val="Table Grid"/>
    <w:basedOn w:val="TableNormal"/>
    <w:uiPriority w:val="39"/>
    <w:rsid w:val="00E86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6545"/>
    <w:pPr>
      <w:ind w:left="720"/>
      <w:contextualSpacing/>
    </w:pPr>
    <w:rPr>
      <w:rFonts w:ascii="Arial" w:eastAsiaTheme="minorHAnsi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E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EE8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28C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84F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4C3269"/>
  </w:style>
  <w:style w:type="character" w:customStyle="1" w:styleId="Heading3Char">
    <w:name w:val="Heading 3 Char"/>
    <w:basedOn w:val="DefaultParagraphFont"/>
    <w:link w:val="Heading3"/>
    <w:uiPriority w:val="9"/>
    <w:semiHidden/>
    <w:rsid w:val="004C32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326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C32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acktotop">
    <w:name w:val="back_to_top"/>
    <w:basedOn w:val="Normal"/>
    <w:rsid w:val="00801F3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82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06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69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Yoram Lirtzman</dc:creator>
  <cp:keywords/>
  <dc:description/>
  <cp:lastModifiedBy>c2mb0100ofcpsxa SCWHCA</cp:lastModifiedBy>
  <cp:revision>6</cp:revision>
  <cp:lastPrinted>2020-10-20T18:27:00Z</cp:lastPrinted>
  <dcterms:created xsi:type="dcterms:W3CDTF">2017-02-05T14:49:00Z</dcterms:created>
  <dcterms:modified xsi:type="dcterms:W3CDTF">2020-10-20T18:28:00Z</dcterms:modified>
</cp:coreProperties>
</file>